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关于开展2021年辽宁省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zh-TW"/>
        </w:rPr>
        <w:t>“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zh-TW" w:eastAsia="zh-TW"/>
        </w:rPr>
        <w:t>返家乡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zh-TW"/>
        </w:rPr>
        <w:t>”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社会实践</w:t>
      </w:r>
    </w:p>
    <w:p>
      <w:pPr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活动总结通报工作的通知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</w:rPr>
      </w:pPr>
    </w:p>
    <w:p>
      <w:pPr>
        <w:rPr>
          <w:rFonts w:hint="default" w:ascii="仿宋_GB2312" w:hAnsi="Calibri" w:eastAsia="仿宋_GB2312" w:cs="黑体"/>
          <w:b/>
          <w:bCs/>
          <w:color w:val="000000"/>
          <w:sz w:val="32"/>
          <w:szCs w:val="32"/>
        </w:rPr>
      </w:pPr>
      <w:r>
        <w:rPr>
          <w:rFonts w:hint="default" w:ascii="仿宋_GB2312" w:hAnsi="Calibri" w:eastAsia="仿宋_GB2312" w:cs="黑体"/>
          <w:b/>
          <w:bCs/>
          <w:color w:val="000000"/>
          <w:sz w:val="32"/>
          <w:szCs w:val="32"/>
        </w:rPr>
        <w:t>各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en-US" w:eastAsia="zh-CN"/>
        </w:rPr>
        <w:t>学院团委、团工委</w:t>
      </w:r>
      <w:r>
        <w:rPr>
          <w:rFonts w:hint="default" w:ascii="仿宋_GB2312" w:hAnsi="Calibri" w:eastAsia="仿宋_GB2312" w:cs="黑体"/>
          <w:b/>
          <w:bCs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2021年6月，团省委下发《关于开展全国大学生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返家乡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社会实践活动的通知》，开启了常态化组织开展辽宁省大学生“返家乡”社会实践活动。为深化活动效果，扩大活动宣传，吸引更多辽宁籍大学生返乡投身乡村振兴战略等家乡发展，在实践中提升社会化技能，团省委决定开展2021年辽宁省“返家乡”社会实践活动总结通报工作。相关工作提示如下。</w:t>
      </w:r>
    </w:p>
    <w:p>
      <w:pPr>
        <w:ind w:firstLine="640" w:firstLineChars="200"/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</w:pP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TW"/>
        </w:rPr>
        <w:t>一、</w:t>
      </w: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  <w:t>校内推报时间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202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年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月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日至202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年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月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日</w:t>
      </w:r>
    </w:p>
    <w:p>
      <w:pPr>
        <w:ind w:firstLine="640" w:firstLineChars="200"/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TW"/>
        </w:rPr>
      </w:pP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TW"/>
        </w:rPr>
        <w:t>二、</w:t>
      </w: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  <w:t>推报</w:t>
      </w: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TW"/>
        </w:rPr>
        <w:t>范围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参与开展2021年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辽宁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省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返家乡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社会实践活动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的组织单位及个人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</w:pP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  <w:t>三、推报名额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团省委评选所有类别均为差额评选，每个类别校团委将向团省委至多推报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个候选单位或个人参评。各学院团委、团工委可酌情推报，每个奖项至多推报1个候选单位或个人参评。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</w:pP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  <w:t>推报类别及资格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黑体"/>
          <w:color w:val="000000"/>
          <w:kern w:val="2"/>
          <w:sz w:val="32"/>
          <w:szCs w:val="32"/>
          <w:lang w:val="zh-TW" w:eastAsia="zh-CN" w:bidi="ar-SA"/>
        </w:rPr>
      </w:pPr>
      <w:r>
        <w:rPr>
          <w:rFonts w:hint="eastAsia" w:ascii="仿宋_GB2312" w:hAnsi="Calibri" w:eastAsia="仿宋_GB2312" w:cs="黑体"/>
          <w:color w:val="000000"/>
          <w:kern w:val="2"/>
          <w:sz w:val="32"/>
          <w:szCs w:val="32"/>
          <w:lang w:val="zh-TW" w:eastAsia="zh-CN" w:bidi="ar-SA"/>
        </w:rPr>
        <w:t>本次推报共分为三个类别：优秀单位、优秀工作者以及优秀学生</w:t>
      </w:r>
      <w:r>
        <w:rPr>
          <w:rFonts w:hint="eastAsia" w:ascii="仿宋_GB2312" w:eastAsia="仿宋_GB2312" w:cs="黑体"/>
          <w:color w:val="000000"/>
          <w:kern w:val="2"/>
          <w:sz w:val="32"/>
          <w:szCs w:val="32"/>
          <w:lang w:val="zh-TW" w:eastAsia="zh-CN" w:bidi="ar-SA"/>
        </w:rPr>
        <w:t>。各类别推报资格如下：</w:t>
      </w:r>
    </w:p>
    <w:p>
      <w:pPr>
        <w:ind w:firstLine="640" w:firstLineChars="200"/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en-US" w:eastAsia="zh-CN"/>
        </w:rPr>
        <w:t>1.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  <w:t>优秀单位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积极开展大学生“返家乡”社会实践活动，为返乡大学生参与社会实践提供服务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；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工作机制健全，能够指导用人单位为返乡大学生提供岗前培训、购买保险、签订协议等服务，切实保障学生基本生活及人身、财产安全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；推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报单位须无任何违纪违法记录、无不良行为诚信记录。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en-US" w:eastAsia="zh-CN"/>
        </w:rPr>
        <w:t>2.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  <w:t>优秀工作者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负责“返家乡”社会实践活动的各项相关工作，尽职尽责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，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圆满完成各项工作任务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。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推报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个人须无任何违纪违法记录、无不良行为诚信记录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。</w:t>
      </w:r>
    </w:p>
    <w:p>
      <w:pPr>
        <w:numPr>
          <w:ilvl w:val="0"/>
          <w:numId w:val="0"/>
        </w:numPr>
        <w:ind w:left="630" w:leftChars="0"/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CN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en-US" w:eastAsia="zh-CN"/>
        </w:rPr>
        <w:t>3.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  <w:t>优秀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CN"/>
        </w:rPr>
        <w:t>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在参与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返家乡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社会实践活动过程中尽职尽责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，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圆满完成各项工作任务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；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个人事迹突出，积极助力家乡社会经济发展，在开展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四史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教育、防疫防汛、校地合作等方面取得明显成效，示范作用较好，在校期间，能够主动在青年学生中分享返乡实践成果、感悟等，扩大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返家乡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社会实践活动影响范围；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推报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个人须无任何违纪违法记录、无不良行为诚信记录。</w:t>
      </w:r>
    </w:p>
    <w:p>
      <w:pPr>
        <w:ind w:firstLine="640" w:firstLineChars="200"/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原则上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CN"/>
        </w:rPr>
        <w:t>推报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返家乡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活动的单位和个人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/>
        </w:rPr>
        <w:t>（学生）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须录入团中央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返家乡社会实践岗位对接系统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。</w:t>
      </w:r>
    </w:p>
    <w:p>
      <w:pPr>
        <w:ind w:firstLine="640" w:firstLineChars="200"/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</w:pPr>
      <w:r>
        <w:rPr>
          <w:rFonts w:hint="eastAsia" w:ascii="黑体" w:hAnsi="Calibri" w:eastAsia="黑体" w:cs="黑体"/>
          <w:b/>
          <w:bCs/>
          <w:color w:val="000000"/>
          <w:sz w:val="32"/>
          <w:szCs w:val="22"/>
          <w:lang w:val="zh-TW" w:eastAsia="zh-CN"/>
        </w:rPr>
        <w:t>五、工作要求</w:t>
      </w:r>
    </w:p>
    <w:p>
      <w:pPr>
        <w:ind w:firstLine="640" w:firstLineChars="200"/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  <w:t>（一）广泛宣传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CN"/>
        </w:rPr>
        <w:t>，积极落实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1．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各学院团委要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对2021年大学生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返家乡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社会实践活动总体情况进行梳理，根据工作实际，从工作部署、组织动员、活动参与情况、重点活动内容及成效、创新做法等方面形成工作总结宣传稿件，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校团委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将充分利用新媒体平台开展宣传推广和经验交流。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2．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各学院团委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要加强与返乡大学生的联系，动员返乡大学生在青年学生中分享暑期社会实践的鲜活事例、实践成果、活动感悟等，扩大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返家乡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社会实践活动的影响范围；要加强合作衔接，特别注重引导返乡大学生在助力家乡人才引进、项目落地、产品推广、科技兴农等方面发挥作用，深化实践成果；要充分运用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互联网+社会实践”的新模式，创新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“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云实践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形式，引导返乡大学生在校期间力所能及为家乡发展做贡献。</w:t>
      </w:r>
    </w:p>
    <w:p>
      <w:pPr>
        <w:ind w:firstLine="640" w:firstLineChars="200"/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TW"/>
        </w:rPr>
        <w:t>（二）高度重视，有效推进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各学院团委要做好《通知》精神宣传工作，确保自下而上进行推选。秉持公平公正公开的原则，对推报项目和人选做好审核把关，对确定推荐的项目和人选，应在本学院范围内进行公示。公示无异议后，上报至校团委参加校级遴选推报。</w:t>
      </w:r>
    </w:p>
    <w:p>
      <w:pPr>
        <w:ind w:firstLine="640" w:firstLineChars="200"/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CN"/>
        </w:rPr>
      </w:pP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22"/>
          <w:lang w:val="zh-TW" w:eastAsia="zh-CN"/>
        </w:rPr>
        <w:t>（三）认真总结，按时推报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各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CN"/>
        </w:rPr>
        <w:t>学院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团委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要做好本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学院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“返家乡”社会实践活动的总结工作，认真做好优秀单位和个人推荐汇总工作，于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TW"/>
        </w:rPr>
        <w:t>3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月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eastAsia="zh-TW"/>
        </w:rPr>
        <w:t>1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日（周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）1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：00前将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报材料电子版报送至社会实践活动专用电子邮箱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zh-TW" w:eastAsia="zh-TW"/>
        </w:rPr>
        <w:t>synu_shsj@126.com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，文件统一命名为</w:t>
      </w:r>
      <w:r>
        <w:rPr>
          <w:rFonts w:hint="eastAsia" w:ascii="仿宋_GB2312" w:hAnsi="Calibri" w:eastAsia="仿宋_GB2312" w:cs="黑体"/>
          <w:b/>
          <w:bCs/>
          <w:color w:val="000000"/>
          <w:sz w:val="32"/>
          <w:szCs w:val="32"/>
          <w:lang w:val="en-US" w:eastAsia="zh-CN"/>
        </w:rPr>
        <w:t>“XX学院‘返家乡’社会实践活动推报材料”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，邮件中注明一位联系人及联系电话，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逾期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视为放弃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。</w:t>
      </w:r>
    </w:p>
    <w:p>
      <w:pPr>
        <w:ind w:firstLine="640" w:firstLineChars="200"/>
        <w:rPr>
          <w:rFonts w:hint="eastAsia" w:ascii="黑体" w:hAnsi="Calibri" w:eastAsia="黑体" w:cs="黑体"/>
          <w:b w:val="0"/>
          <w:bCs w:val="0"/>
          <w:color w:val="000000"/>
          <w:sz w:val="32"/>
          <w:szCs w:val="22"/>
          <w:lang w:val="zh-TW" w:eastAsia="zh-CN"/>
        </w:rPr>
      </w:pPr>
      <w:r>
        <w:rPr>
          <w:rFonts w:hint="eastAsia" w:ascii="黑体" w:hAnsi="Calibri" w:eastAsia="黑体" w:cs="黑体"/>
          <w:b w:val="0"/>
          <w:bCs w:val="0"/>
          <w:color w:val="000000"/>
          <w:sz w:val="32"/>
          <w:szCs w:val="22"/>
          <w:lang w:val="zh-TW" w:eastAsia="zh-CN"/>
        </w:rPr>
        <w:t>推报</w:t>
      </w:r>
      <w:r>
        <w:rPr>
          <w:rFonts w:hint="eastAsia" w:ascii="黑体" w:hAnsi="Calibri" w:eastAsia="黑体" w:cs="黑体"/>
          <w:b w:val="0"/>
          <w:bCs w:val="0"/>
          <w:color w:val="000000"/>
          <w:sz w:val="32"/>
          <w:szCs w:val="22"/>
          <w:lang w:val="zh-TW" w:eastAsia="zh-TW"/>
        </w:rPr>
        <w:t>材料</w:t>
      </w:r>
      <w:r>
        <w:rPr>
          <w:rFonts w:hint="eastAsia" w:ascii="黑体" w:hAnsi="Calibri" w:eastAsia="黑体" w:cs="黑体"/>
          <w:b w:val="0"/>
          <w:bCs w:val="0"/>
          <w:color w:val="000000"/>
          <w:sz w:val="32"/>
          <w:szCs w:val="22"/>
          <w:lang w:val="zh-TW" w:eastAsia="zh-CN"/>
        </w:rPr>
        <w:t>如下：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报表（附件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1、2、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3）、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报汇总表（附件4）；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主要事迹材料（1500字以内，要求重点突出、精炼准确、条理清晰、事迹真实）；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组织或参与社会实践活动照片3-5张（配文字说明，照片真实、清晰，无不良影响）；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相关宣传报道链接及截图。</w:t>
      </w:r>
    </w:p>
    <w:p>
      <w:pPr>
        <w:pStyle w:val="2"/>
        <w:rPr>
          <w:rFonts w:hint="eastAsia"/>
          <w:lang w:val="zh-TW" w:eastAsia="zh-TW"/>
        </w:rPr>
      </w:pP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联 系 人：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耿靖雯</w:t>
      </w:r>
    </w:p>
    <w:p>
      <w:pPr>
        <w:ind w:firstLine="640" w:firstLineChars="200"/>
        <w:rPr>
          <w:rFonts w:hint="default" w:ascii="仿宋_GB2312" w:hAnsi="Calibri" w:eastAsia="仿宋_GB2312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联系电话：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15504054046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附件：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 xml:space="preserve">  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1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.优秀单位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报表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 xml:space="preserve">        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2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.优秀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工作者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报表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 xml:space="preserve">        3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.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优秀学生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报表</w:t>
      </w:r>
    </w:p>
    <w:p>
      <w:pPr>
        <w:ind w:firstLine="640" w:firstLineChars="200"/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 xml:space="preserve">        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4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.优秀单位、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t>优秀工作者及优秀学生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CN"/>
        </w:rPr>
        <w:t>推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zh-TW" w:eastAsia="zh-TW"/>
        </w:rPr>
        <w:t>报汇总表</w:t>
      </w:r>
    </w:p>
    <w:p>
      <w:pPr>
        <w:ind w:firstLine="645"/>
        <w:jc w:val="right"/>
        <w:rPr>
          <w:rFonts w:hint="eastAsia" w:ascii="仿宋_GB2312" w:hAnsi="Calibri" w:eastAsia="仿宋_GB2312" w:cs="黑体"/>
          <w:color w:val="000000"/>
          <w:sz w:val="32"/>
          <w:szCs w:val="32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 xml:space="preserve">                           </w:t>
      </w:r>
    </w:p>
    <w:p>
      <w:pPr>
        <w:ind w:firstLine="645"/>
        <w:jc w:val="right"/>
        <w:rPr>
          <w:rFonts w:hint="eastAsia" w:ascii="仿宋_GB2312" w:hAnsi="Calibri" w:eastAsia="仿宋_GB2312" w:cs="黑体"/>
          <w:color w:val="000000"/>
          <w:sz w:val="32"/>
          <w:szCs w:val="32"/>
        </w:r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共青团沈阳师范大学委员会</w:t>
      </w:r>
    </w:p>
    <w:p>
      <w:pPr>
        <w:ind w:firstLine="645"/>
        <w:jc w:val="right"/>
        <w:rPr>
          <w:rFonts w:hint="eastAsia" w:ascii="仿宋_GB2312" w:hAnsi="Calibri" w:eastAsia="仿宋_GB2312" w:cs="黑体"/>
          <w:color w:val="000000"/>
          <w:sz w:val="32"/>
          <w:szCs w:val="32"/>
          <w:lang w:val="zh-TW"/>
        </w:rPr>
        <w:sectPr>
          <w:footerReference r:id="rId3" w:type="default"/>
          <w:pgSz w:w="11907" w:h="16840"/>
          <w:pgMar w:top="1701" w:right="1531" w:bottom="1531" w:left="1531" w:header="851" w:footer="680" w:gutter="0"/>
          <w:pgNumType w:fmt="decimal"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202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年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黑体"/>
          <w:color w:val="000000"/>
          <w:sz w:val="32"/>
          <w:szCs w:val="32"/>
        </w:rPr>
        <w:t>月1</w:t>
      </w:r>
      <w:r>
        <w:rPr>
          <w:rFonts w:hint="eastAsia" w:ascii="仿宋_GB2312" w:hAnsi="Calibri" w:eastAsia="仿宋_GB2312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Calibri" w:eastAsia="仿宋_GB2312" w:cs="黑体"/>
          <w:color w:val="000000"/>
          <w:sz w:val="32"/>
          <w:szCs w:val="32"/>
        </w:rPr>
        <w:t>日</w:t>
      </w:r>
    </w:p>
    <w:p>
      <w:pPr>
        <w:pStyle w:val="2"/>
        <w:adjustRightInd w:val="0"/>
        <w:snapToGrid w:val="0"/>
        <w:spacing w:line="540" w:lineRule="exac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1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775"/>
        <w:gridCol w:w="1683"/>
        <w:gridCol w:w="2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推报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7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55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岗位数量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或宣传动员实践次数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媒体宣传报道情况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链接</w:t>
            </w:r>
          </w:p>
        </w:tc>
        <w:tc>
          <w:tcPr>
            <w:tcW w:w="7213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2" w:hRule="atLeast"/>
        </w:trPr>
        <w:tc>
          <w:tcPr>
            <w:tcW w:w="8599" w:type="dxa"/>
            <w:gridSpan w:val="4"/>
          </w:tcPr>
          <w:p>
            <w:pPr>
              <w:pStyle w:val="2"/>
              <w:adjustRightInd w:val="0"/>
              <w:snapToGrid w:val="0"/>
              <w:spacing w:line="5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主要事迹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（1500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字以内，内容可包括创新做法、主要成果、宣传成果等，内容及其相关辅助材料可另附页）：</w:t>
            </w:r>
          </w:p>
        </w:tc>
      </w:tr>
    </w:tbl>
    <w:p>
      <w:pPr>
        <w:pStyle w:val="2"/>
        <w:adjustRightInd w:val="0"/>
        <w:snapToGrid w:val="0"/>
        <w:spacing w:line="540" w:lineRule="exact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sectPr>
          <w:pgSz w:w="11906" w:h="16838"/>
          <w:pgMar w:top="1928" w:right="1531" w:bottom="181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4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优秀工作者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254" w:tblpY="301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801"/>
        <w:gridCol w:w="1067"/>
        <w:gridCol w:w="1333"/>
        <w:gridCol w:w="1367"/>
        <w:gridCol w:w="167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9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0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电子免冠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89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801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9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934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9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934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</w:trPr>
        <w:tc>
          <w:tcPr>
            <w:tcW w:w="1899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媒体宣传报道情况链接</w:t>
            </w:r>
          </w:p>
        </w:tc>
        <w:tc>
          <w:tcPr>
            <w:tcW w:w="7934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9833" w:type="dxa"/>
            <w:gridSpan w:val="7"/>
          </w:tcPr>
          <w:p>
            <w:pPr>
              <w:pStyle w:val="2"/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实践主要事迹（1500字以内，内容可包括具体情况、先进事迹、重要成果等，内容及其他相关辅助材料可另附页）：</w:t>
            </w:r>
          </w:p>
        </w:tc>
      </w:tr>
    </w:tbl>
    <w:p>
      <w:pPr>
        <w:pStyle w:val="2"/>
        <w:adjustRightInd w:val="0"/>
        <w:snapToGrid w:val="0"/>
        <w:spacing w:line="540" w:lineRule="exact"/>
        <w:jc w:val="center"/>
        <w:outlineLvl w:val="0"/>
        <w:rPr>
          <w:rFonts w:ascii="方正大标宋简体" w:hAnsi="方正大标宋简体" w:eastAsia="方正大标宋简体" w:cs="方正大标宋简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outlineLvl w:val="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outlineLvl w:val="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推报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254" w:tblpY="301"/>
        <w:tblOverlap w:val="never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649"/>
        <w:gridCol w:w="801"/>
        <w:gridCol w:w="496"/>
        <w:gridCol w:w="571"/>
        <w:gridCol w:w="808"/>
        <w:gridCol w:w="525"/>
        <w:gridCol w:w="962"/>
        <w:gridCol w:w="405"/>
        <w:gridCol w:w="1673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5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电子免冠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250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73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96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637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96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所在学校及班级</w:t>
            </w:r>
          </w:p>
        </w:tc>
        <w:tc>
          <w:tcPr>
            <w:tcW w:w="6637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例：2021级XX大学XX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XX专业XX班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1"/>
                <w:szCs w:val="3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  <w:t>实践单位及岗位</w:t>
            </w:r>
          </w:p>
        </w:tc>
        <w:tc>
          <w:tcPr>
            <w:tcW w:w="7934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实践天数</w:t>
            </w:r>
          </w:p>
        </w:tc>
        <w:tc>
          <w:tcPr>
            <w:tcW w:w="2676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X天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实践类别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政务实践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企业实践</w:t>
            </w:r>
          </w:p>
          <w:p>
            <w:pPr>
              <w:pStyle w:val="2"/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公益实践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基层实践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899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媒体宣传报道情况链接</w:t>
            </w:r>
          </w:p>
        </w:tc>
        <w:tc>
          <w:tcPr>
            <w:tcW w:w="7934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9833" w:type="dxa"/>
            <w:gridSpan w:val="11"/>
          </w:tcPr>
          <w:p>
            <w:pPr>
              <w:pStyle w:val="2"/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实践主要事迹（1500字以内，内容可包括具体情况、先进事迹、重要成果等，内容及其他相关辅助材料可另附页）：</w:t>
            </w:r>
          </w:p>
        </w:tc>
      </w:tr>
    </w:tbl>
    <w:p>
      <w:pPr>
        <w:adjustRightInd w:val="0"/>
        <w:snapToGrid w:val="0"/>
        <w:spacing w:line="540" w:lineRule="exact"/>
        <w:rPr>
          <w:rFonts w:ascii="楷体_GB2312" w:hAnsi="楷体_GB2312" w:eastAsia="楷体_GB2312" w:cs="楷体_GB2312"/>
          <w:sz w:val="24"/>
        </w:rPr>
      </w:pPr>
    </w:p>
    <w:sectPr>
      <w:pgSz w:w="11906" w:h="16838"/>
      <w:pgMar w:top="1928" w:right="1531" w:bottom="1814" w:left="1531" w:header="851" w:footer="992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-172720</wp:posOffset>
              </wp:positionV>
              <wp:extent cx="598805" cy="105283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052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3.6pt;height:82.9pt;width:47.15pt;mso-position-horizontal:center;mso-position-horizontal-relative:margin;z-index:251659264;mso-width-relative:page;mso-height-relative:page;" filled="f" stroked="f" coordsize="21600,21600" o:gfxdata="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Yh1ko1gAAAAcBAAAPAAAAAAAAAAEAIAAAACIAAABkcnMvZG93bnJldi54&#10;bWxQSwECFAAUAAAACACHTuJAkrkAPMMBAAB7AwAADgAAAAAAAAABACAAAAAlAQAAZHJzL2Uyb0Rv&#10;Yy54bWxQSwUGAAAAAAYABgBZAQAAW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F0E62"/>
    <w:multiLevelType w:val="singleLevel"/>
    <w:tmpl w:val="87EF0E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D65D8"/>
    <w:rsid w:val="00016389"/>
    <w:rsid w:val="00054F09"/>
    <w:rsid w:val="00212EFA"/>
    <w:rsid w:val="0030637E"/>
    <w:rsid w:val="006E3FAB"/>
    <w:rsid w:val="007C1C6B"/>
    <w:rsid w:val="00891A86"/>
    <w:rsid w:val="00A12534"/>
    <w:rsid w:val="00DA6381"/>
    <w:rsid w:val="02FE7B98"/>
    <w:rsid w:val="093A3733"/>
    <w:rsid w:val="0B1E7F7E"/>
    <w:rsid w:val="0E774A29"/>
    <w:rsid w:val="136F4921"/>
    <w:rsid w:val="173C4031"/>
    <w:rsid w:val="1ADD2FF6"/>
    <w:rsid w:val="1B2B36E5"/>
    <w:rsid w:val="1D0E2128"/>
    <w:rsid w:val="1D3667CB"/>
    <w:rsid w:val="23690CDD"/>
    <w:rsid w:val="2CBD65D8"/>
    <w:rsid w:val="2CFBE502"/>
    <w:rsid w:val="2FDF73E2"/>
    <w:rsid w:val="2FF7DB3C"/>
    <w:rsid w:val="31E00A1C"/>
    <w:rsid w:val="341C000D"/>
    <w:rsid w:val="377631AB"/>
    <w:rsid w:val="37FC622C"/>
    <w:rsid w:val="38DFA90C"/>
    <w:rsid w:val="3A78409B"/>
    <w:rsid w:val="3DEFE4DD"/>
    <w:rsid w:val="3EF93568"/>
    <w:rsid w:val="434D1CD9"/>
    <w:rsid w:val="435345F3"/>
    <w:rsid w:val="45AA7706"/>
    <w:rsid w:val="4BF7E029"/>
    <w:rsid w:val="4F8162D0"/>
    <w:rsid w:val="4F9B6DF0"/>
    <w:rsid w:val="55DF5C2D"/>
    <w:rsid w:val="5A0010EF"/>
    <w:rsid w:val="5BB0514C"/>
    <w:rsid w:val="5D1E7B16"/>
    <w:rsid w:val="5D435238"/>
    <w:rsid w:val="5E3249D5"/>
    <w:rsid w:val="5F7F5A39"/>
    <w:rsid w:val="5FDC2282"/>
    <w:rsid w:val="61304C2B"/>
    <w:rsid w:val="67DF3332"/>
    <w:rsid w:val="69187D2A"/>
    <w:rsid w:val="69980E1A"/>
    <w:rsid w:val="6AFF3EC8"/>
    <w:rsid w:val="6BFF73B8"/>
    <w:rsid w:val="6D94193A"/>
    <w:rsid w:val="6EFD4EC5"/>
    <w:rsid w:val="6F2E1117"/>
    <w:rsid w:val="6FDB1B12"/>
    <w:rsid w:val="6FFDE4D9"/>
    <w:rsid w:val="738B5C2A"/>
    <w:rsid w:val="74D9414E"/>
    <w:rsid w:val="76BFD74E"/>
    <w:rsid w:val="76CBDECF"/>
    <w:rsid w:val="77EAFF69"/>
    <w:rsid w:val="77EDDDD7"/>
    <w:rsid w:val="77EF64D2"/>
    <w:rsid w:val="795912D5"/>
    <w:rsid w:val="79F872D4"/>
    <w:rsid w:val="79FA684E"/>
    <w:rsid w:val="7BA14556"/>
    <w:rsid w:val="7CFC2039"/>
    <w:rsid w:val="7D3D00ED"/>
    <w:rsid w:val="7D3D06D5"/>
    <w:rsid w:val="7DD80392"/>
    <w:rsid w:val="7DDF8D6A"/>
    <w:rsid w:val="7E0325C1"/>
    <w:rsid w:val="7E6FBBF3"/>
    <w:rsid w:val="7ECF5A8C"/>
    <w:rsid w:val="7F5EA5F6"/>
    <w:rsid w:val="7F5FFCB8"/>
    <w:rsid w:val="7F6260C5"/>
    <w:rsid w:val="7F7DF8BE"/>
    <w:rsid w:val="7FB4B79E"/>
    <w:rsid w:val="7FDE3111"/>
    <w:rsid w:val="8B778FA9"/>
    <w:rsid w:val="9E6761BD"/>
    <w:rsid w:val="AF777413"/>
    <w:rsid w:val="B35F5EC9"/>
    <w:rsid w:val="BBFDBC6D"/>
    <w:rsid w:val="BC5FA9F5"/>
    <w:rsid w:val="BD4F8B5D"/>
    <w:rsid w:val="BFDFBC68"/>
    <w:rsid w:val="BFFE1463"/>
    <w:rsid w:val="C7EBFF14"/>
    <w:rsid w:val="C9FFEBCC"/>
    <w:rsid w:val="D45DC986"/>
    <w:rsid w:val="D7E79975"/>
    <w:rsid w:val="D7EC3E4C"/>
    <w:rsid w:val="DDB77CEA"/>
    <w:rsid w:val="DDDA0750"/>
    <w:rsid w:val="E1CF143C"/>
    <w:rsid w:val="EF768EB7"/>
    <w:rsid w:val="F0FE44A4"/>
    <w:rsid w:val="F19F9409"/>
    <w:rsid w:val="F47F33BE"/>
    <w:rsid w:val="F56B8E03"/>
    <w:rsid w:val="F6FF6329"/>
    <w:rsid w:val="F76B6DFB"/>
    <w:rsid w:val="FBDFDD37"/>
    <w:rsid w:val="FDDFAB40"/>
    <w:rsid w:val="FDFEE3E1"/>
    <w:rsid w:val="FDFFF59F"/>
    <w:rsid w:val="FEBDF841"/>
    <w:rsid w:val="FEF98996"/>
    <w:rsid w:val="FF5B3E0D"/>
    <w:rsid w:val="FF876AC3"/>
    <w:rsid w:val="FFB72A27"/>
    <w:rsid w:val="FFBD0973"/>
    <w:rsid w:val="FFBF2C5C"/>
    <w:rsid w:val="FFFFBBBF"/>
    <w:rsid w:val="FFFFBD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首行缩进1"/>
    <w:basedOn w:val="2"/>
    <w:qFormat/>
    <w:uiPriority w:val="0"/>
    <w:pPr>
      <w:ind w:firstLine="420" w:firstLineChars="100"/>
    </w:pPr>
  </w:style>
  <w:style w:type="paragraph" w:customStyle="1" w:styleId="12">
    <w:name w:val="Heading #2|1"/>
    <w:basedOn w:val="1"/>
    <w:qFormat/>
    <w:uiPriority w:val="0"/>
    <w:pPr>
      <w:spacing w:after="480"/>
      <w:jc w:val="center"/>
      <w:outlineLvl w:val="1"/>
    </w:pPr>
    <w:rPr>
      <w:rFonts w:ascii="宋体" w:hAnsi="宋体" w:eastAsia="宋体" w:cs="宋体"/>
      <w:color w:val="4A4A4B"/>
      <w:sz w:val="40"/>
      <w:szCs w:val="4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2059</Words>
  <Characters>2145</Characters>
  <Lines>18</Lines>
  <Paragraphs>5</Paragraphs>
  <TotalTime>26</TotalTime>
  <ScaleCrop>false</ScaleCrop>
  <LinksUpToDate>false</LinksUpToDate>
  <CharactersWithSpaces>2216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2021-09-18T23:06:00Z</dcterms:created>
  <dc:creator>帅涛</dc:creator>
  <cp:lastModifiedBy>AKA.imp</cp:lastModifiedBy>
  <cp:lastPrinted>2022-03-09T19:26:00Z</cp:lastPrinted>
  <dcterms:modified xsi:type="dcterms:W3CDTF">2022-03-11T07:29:50Z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2C7B609C598F48CBBF427DE5BBAFFAEF</vt:lpwstr>
  </property>
  <property fmtid="{D5CDD505-2E9C-101B-9397-08002B2CF9AE}" pid="4" name="KSOSaveFontToCloudKey">
    <vt:lpwstr>562707726_cloud</vt:lpwstr>
  </property>
</Properties>
</file>